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43" w:rsidRPr="007237AF" w:rsidRDefault="00B55043" w:rsidP="00B55043">
      <w:pPr>
        <w:spacing w:afterLines="100" w:after="240" w:line="240" w:lineRule="auto"/>
        <w:jc w:val="right"/>
        <w:rPr>
          <w:rFonts w:ascii="Life L2" w:hAnsi="Life L2"/>
          <w:b/>
          <w:color w:val="000000" w:themeColor="text1"/>
          <w:sz w:val="20"/>
        </w:rPr>
      </w:pPr>
      <w:bookmarkStart w:id="0" w:name="_GoBack"/>
      <w:bookmarkEnd w:id="0"/>
      <w:r w:rsidRPr="007237AF">
        <w:rPr>
          <w:rFonts w:ascii="Life L2" w:hAnsi="Life L2"/>
          <w:b/>
          <w:color w:val="000000" w:themeColor="text1"/>
          <w:sz w:val="20"/>
        </w:rPr>
        <w:t xml:space="preserve">PRILOG 4. </w:t>
      </w:r>
    </w:p>
    <w:p w:rsidR="00B55043" w:rsidRPr="007237AF" w:rsidRDefault="00B55043" w:rsidP="00B55043">
      <w:pPr>
        <w:spacing w:afterLines="100" w:after="240" w:line="240" w:lineRule="auto"/>
        <w:rPr>
          <w:rFonts w:ascii="Life L2" w:hAnsi="Life L2"/>
          <w:b/>
          <w:color w:val="000000" w:themeColor="text1"/>
          <w:sz w:val="20"/>
        </w:rPr>
      </w:pPr>
      <w:r w:rsidRPr="007237AF">
        <w:rPr>
          <w:rFonts w:ascii="Life L2" w:hAnsi="Life L2"/>
          <w:b/>
          <w:color w:val="000000" w:themeColor="text1"/>
          <w:sz w:val="20"/>
        </w:rPr>
        <w:t xml:space="preserve">OBRAZAC PROCJENE PRIMJERENOSTI PREDSJEDNIKA UPRAVE, ČLANA UPRAVE I ČLANA NADZORNOG ODBORA </w:t>
      </w:r>
    </w:p>
    <w:p w:rsidR="00B55043" w:rsidRPr="007237AF" w:rsidRDefault="00B55043" w:rsidP="00B55043">
      <w:pPr>
        <w:spacing w:afterLines="100" w:after="240" w:line="240" w:lineRule="auto"/>
        <w:rPr>
          <w:rFonts w:ascii="Life L2" w:hAnsi="Life L2"/>
          <w:color w:val="000000" w:themeColor="text1"/>
          <w:sz w:val="20"/>
        </w:rPr>
      </w:pPr>
      <w:r w:rsidRPr="007237AF">
        <w:rPr>
          <w:rFonts w:ascii="Life L2" w:hAnsi="Life L2"/>
          <w:color w:val="000000" w:themeColor="text1"/>
          <w:sz w:val="20"/>
        </w:rPr>
        <w:t>Kreditna institucija dužna je u Obrascu procjene primjerenosti izvršiti procjenu primjerenosti kandidata najmanje prema sljedećim kriterijima:</w:t>
      </w:r>
    </w:p>
    <w:p w:rsidR="00B55043" w:rsidRPr="007237AF" w:rsidRDefault="00B55043" w:rsidP="00B55043">
      <w:pPr>
        <w:spacing w:afterLines="100" w:after="240" w:line="240" w:lineRule="auto"/>
        <w:rPr>
          <w:rFonts w:ascii="Life L2" w:hAnsi="Life L2"/>
          <w:color w:val="000000" w:themeColor="text1"/>
          <w:sz w:val="20"/>
        </w:rPr>
      </w:pPr>
    </w:p>
    <w:tbl>
      <w:tblPr>
        <w:tblStyle w:val="Reetkatablice1"/>
        <w:tblW w:w="9209" w:type="dxa"/>
        <w:tblLayout w:type="fixed"/>
        <w:tblLook w:val="04A0" w:firstRow="1" w:lastRow="0" w:firstColumn="1" w:lastColumn="0" w:noHBand="0" w:noVBand="1"/>
      </w:tblPr>
      <w:tblGrid>
        <w:gridCol w:w="4248"/>
        <w:gridCol w:w="2551"/>
        <w:gridCol w:w="2410"/>
      </w:tblGrid>
      <w:tr w:rsidR="00B55043" w:rsidRPr="007237AF" w:rsidTr="00D81348">
        <w:trPr>
          <w:trHeight w:val="857"/>
        </w:trPr>
        <w:tc>
          <w:tcPr>
            <w:tcW w:w="9209" w:type="dxa"/>
            <w:gridSpan w:val="3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b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b/>
                <w:color w:val="000000" w:themeColor="text1"/>
                <w:sz w:val="20"/>
              </w:rPr>
              <w:t>Obrazac procjene primjerenosti</w:t>
            </w:r>
          </w:p>
        </w:tc>
      </w:tr>
      <w:tr w:rsidR="00B55043" w:rsidRPr="007237AF" w:rsidTr="00D81348">
        <w:trPr>
          <w:trHeight w:val="270"/>
        </w:trPr>
        <w:tc>
          <w:tcPr>
            <w:tcW w:w="4248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b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i/>
                <w:color w:val="000000" w:themeColor="text1"/>
                <w:sz w:val="20"/>
              </w:rPr>
              <w:t>(kriterij primjerenosti)</w:t>
            </w:r>
          </w:p>
        </w:tc>
        <w:tc>
          <w:tcPr>
            <w:tcW w:w="2551" w:type="dxa"/>
            <w:noWrap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b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i/>
                <w:color w:val="000000" w:themeColor="text1"/>
                <w:sz w:val="20"/>
              </w:rPr>
              <w:t>(dokument ili informacije kojim se dokazuje ispunjenje kriterija)</w:t>
            </w:r>
          </w:p>
        </w:tc>
        <w:tc>
          <w:tcPr>
            <w:tcW w:w="2410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b/>
                <w:i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i/>
                <w:color w:val="000000" w:themeColor="text1"/>
                <w:sz w:val="20"/>
              </w:rPr>
              <w:t>(obrazloženje procjene ispunjenja svakoga propisanoga kriterija)</w:t>
            </w:r>
          </w:p>
        </w:tc>
      </w:tr>
      <w:tr w:rsidR="00B55043" w:rsidRPr="007237AF" w:rsidTr="00D81348">
        <w:trPr>
          <w:trHeight w:val="270"/>
        </w:trPr>
        <w:tc>
          <w:tcPr>
            <w:tcW w:w="4248" w:type="dxa"/>
            <w:hideMark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b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b/>
                <w:color w:val="000000" w:themeColor="text1"/>
                <w:sz w:val="20"/>
              </w:rPr>
              <w:t xml:space="preserve">1) Dobar ugled, savjesnost i poštenje (članak 5. Odluke) </w:t>
            </w:r>
          </w:p>
        </w:tc>
        <w:tc>
          <w:tcPr>
            <w:tcW w:w="2551" w:type="dxa"/>
            <w:noWrap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b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b/>
                <w:color w:val="000000" w:themeColor="text1"/>
                <w:sz w:val="20"/>
              </w:rPr>
            </w:pPr>
          </w:p>
        </w:tc>
      </w:tr>
      <w:tr w:rsidR="00B55043" w:rsidRPr="007237AF" w:rsidTr="00D81348">
        <w:trPr>
          <w:trHeight w:val="1110"/>
        </w:trPr>
        <w:tc>
          <w:tcPr>
            <w:tcW w:w="4248" w:type="dxa"/>
            <w:hideMark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color w:val="000000" w:themeColor="text1"/>
                <w:sz w:val="20"/>
              </w:rPr>
              <w:t>(a) neosuđivanost za kaznena djela iz članka 25. stavka 2. Zak</w:t>
            </w:r>
            <w:r>
              <w:rPr>
                <w:rFonts w:ascii="Life L2" w:hAnsi="Life L2"/>
                <w:color w:val="000000" w:themeColor="text1"/>
                <w:sz w:val="20"/>
              </w:rPr>
              <w:t>ona o kreditnim institucijama /</w:t>
            </w:r>
            <w:r w:rsidRPr="007237AF">
              <w:rPr>
                <w:rFonts w:ascii="Life L2" w:hAnsi="Life L2"/>
                <w:color w:val="000000" w:themeColor="text1"/>
                <w:sz w:val="20"/>
              </w:rPr>
              <w:t>kaznena djela koja u svojem opisu odgovaraju kaznenim djelima iz članka 25. stavka 2. Zakona o kreditnim institucijama (članak 5. stavak 1. točka 1. Odluke)</w:t>
            </w:r>
          </w:p>
        </w:tc>
        <w:tc>
          <w:tcPr>
            <w:tcW w:w="2551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</w:tr>
      <w:tr w:rsidR="00B55043" w:rsidRPr="007237AF" w:rsidTr="00D81348">
        <w:trPr>
          <w:trHeight w:val="810"/>
        </w:trPr>
        <w:tc>
          <w:tcPr>
            <w:tcW w:w="4248" w:type="dxa"/>
            <w:hideMark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color w:val="000000" w:themeColor="text1"/>
                <w:sz w:val="20"/>
              </w:rPr>
              <w:t>(b) neosuđivanost za bilo koje kazneno djelo koje nije navedeno u članku 25. stavku 2. Zakona o kreditnim institucijama (članak 5. stavak 1. točka 2. Odluke)</w:t>
            </w:r>
          </w:p>
        </w:tc>
        <w:tc>
          <w:tcPr>
            <w:tcW w:w="2551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i/>
                <w:color w:val="000000" w:themeColor="text1"/>
                <w:sz w:val="20"/>
              </w:rPr>
            </w:pPr>
          </w:p>
        </w:tc>
      </w:tr>
      <w:tr w:rsidR="00B55043" w:rsidRPr="007237AF" w:rsidTr="00D81348">
        <w:trPr>
          <w:trHeight w:val="510"/>
        </w:trPr>
        <w:tc>
          <w:tcPr>
            <w:tcW w:w="4248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color w:val="000000" w:themeColor="text1"/>
                <w:sz w:val="20"/>
              </w:rPr>
              <w:t xml:space="preserve">(c) </w:t>
            </w:r>
            <w:proofErr w:type="spellStart"/>
            <w:r w:rsidRPr="007237AF">
              <w:rPr>
                <w:rFonts w:ascii="Life L2" w:hAnsi="Life L2"/>
                <w:color w:val="000000" w:themeColor="text1"/>
                <w:sz w:val="20"/>
              </w:rPr>
              <w:t>nevođenje</w:t>
            </w:r>
            <w:proofErr w:type="spellEnd"/>
            <w:r w:rsidRPr="007237AF">
              <w:rPr>
                <w:rFonts w:ascii="Life L2" w:hAnsi="Life L2"/>
                <w:color w:val="000000" w:themeColor="text1"/>
                <w:sz w:val="20"/>
              </w:rPr>
              <w:t xml:space="preserve"> kaznenog postupka (članak 5. stavak 1. točka 2. Odluke)</w:t>
            </w:r>
          </w:p>
        </w:tc>
        <w:tc>
          <w:tcPr>
            <w:tcW w:w="2551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</w:tr>
      <w:tr w:rsidR="00B55043" w:rsidRPr="007237AF" w:rsidTr="00D81348">
        <w:trPr>
          <w:trHeight w:val="510"/>
        </w:trPr>
        <w:tc>
          <w:tcPr>
            <w:tcW w:w="4248" w:type="dxa"/>
            <w:hideMark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color w:val="000000" w:themeColor="text1"/>
                <w:sz w:val="20"/>
              </w:rPr>
              <w:t>(d) mjere, sankcije, istrage, postupci koje protiv kandidata vode nadležna nadzorna tijela ili sudovi zbog nepravilnosti ili nepridržavanja propisa (članak 5. stavak 1. točka 3. Odluke)</w:t>
            </w:r>
          </w:p>
        </w:tc>
        <w:tc>
          <w:tcPr>
            <w:tcW w:w="2551" w:type="dxa"/>
            <w:hideMark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410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</w:tr>
      <w:tr w:rsidR="00B55043" w:rsidRPr="007237AF" w:rsidTr="00D81348">
        <w:trPr>
          <w:trHeight w:val="255"/>
        </w:trPr>
        <w:tc>
          <w:tcPr>
            <w:tcW w:w="4248" w:type="dxa"/>
            <w:hideMark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color w:val="000000" w:themeColor="text1"/>
                <w:sz w:val="20"/>
              </w:rPr>
              <w:t xml:space="preserve">(e) rukovođenje društvom koje je pravomoćno osuđeno, protiv kojeg su izrečene mjere ili se vode postupci i ostale radnje (članak 5. stavak 1. točka 4.) </w:t>
            </w:r>
          </w:p>
        </w:tc>
        <w:tc>
          <w:tcPr>
            <w:tcW w:w="2551" w:type="dxa"/>
            <w:hideMark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</w:tr>
      <w:tr w:rsidR="00B55043" w:rsidRPr="007237AF" w:rsidTr="00D81348">
        <w:trPr>
          <w:trHeight w:val="510"/>
        </w:trPr>
        <w:tc>
          <w:tcPr>
            <w:tcW w:w="4248" w:type="dxa"/>
            <w:hideMark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color w:val="000000" w:themeColor="text1"/>
                <w:sz w:val="20"/>
              </w:rPr>
              <w:t>(f) dosadašnji rad i profesionalni integritet (članak 5. stavak 1. točka 5. Odluke)</w:t>
            </w:r>
          </w:p>
        </w:tc>
        <w:tc>
          <w:tcPr>
            <w:tcW w:w="2551" w:type="dxa"/>
            <w:hideMark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</w:tr>
      <w:tr w:rsidR="00B55043" w:rsidRPr="007237AF" w:rsidTr="00D81348">
        <w:trPr>
          <w:trHeight w:val="765"/>
        </w:trPr>
        <w:tc>
          <w:tcPr>
            <w:tcW w:w="4248" w:type="dxa"/>
            <w:hideMark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color w:val="000000" w:themeColor="text1"/>
                <w:sz w:val="20"/>
              </w:rPr>
              <w:t xml:space="preserve">(g) poslovni rezultati kandidata (članak 5. stavak 1. točka 6. Odluke) </w:t>
            </w:r>
          </w:p>
        </w:tc>
        <w:tc>
          <w:tcPr>
            <w:tcW w:w="2551" w:type="dxa"/>
            <w:hideMark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</w:tr>
      <w:tr w:rsidR="00B55043" w:rsidRPr="007237AF" w:rsidTr="00D81348">
        <w:trPr>
          <w:trHeight w:val="525"/>
        </w:trPr>
        <w:tc>
          <w:tcPr>
            <w:tcW w:w="4248" w:type="dxa"/>
            <w:hideMark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color w:val="000000" w:themeColor="text1"/>
                <w:sz w:val="20"/>
              </w:rPr>
              <w:t xml:space="preserve">(h) financijska stabilnost kandidata (članak 5. stavak 1. točka 7. Odluke) </w:t>
            </w:r>
          </w:p>
        </w:tc>
        <w:tc>
          <w:tcPr>
            <w:tcW w:w="2551" w:type="dxa"/>
            <w:hideMark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</w:tr>
      <w:tr w:rsidR="00B55043" w:rsidRPr="007237AF" w:rsidTr="00D81348">
        <w:trPr>
          <w:trHeight w:val="314"/>
        </w:trPr>
        <w:tc>
          <w:tcPr>
            <w:tcW w:w="4248" w:type="dxa"/>
            <w:shd w:val="clear" w:color="auto" w:fill="auto"/>
          </w:tcPr>
          <w:p w:rsidR="00B55043" w:rsidRPr="007237AF" w:rsidRDefault="00B55043" w:rsidP="00D81348">
            <w:pPr>
              <w:spacing w:afterLines="50" w:after="120" w:line="240" w:lineRule="auto"/>
              <w:ind w:right="63"/>
              <w:contextualSpacing/>
              <w:rPr>
                <w:rFonts w:ascii="Life L2" w:hAnsi="Life L2"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color w:val="000000" w:themeColor="text1"/>
                <w:sz w:val="20"/>
              </w:rPr>
              <w:t>(i) drugi razlozi za sumnju (članak 4. stavak 5. točka 8. Odluke)</w:t>
            </w:r>
          </w:p>
        </w:tc>
        <w:tc>
          <w:tcPr>
            <w:tcW w:w="2551" w:type="dxa"/>
            <w:shd w:val="clear" w:color="auto" w:fill="auto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</w:tr>
      <w:tr w:rsidR="00B55043" w:rsidRPr="007237AF" w:rsidTr="00D81348">
        <w:trPr>
          <w:trHeight w:val="314"/>
        </w:trPr>
        <w:tc>
          <w:tcPr>
            <w:tcW w:w="4248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b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b/>
                <w:color w:val="000000" w:themeColor="text1"/>
                <w:sz w:val="20"/>
              </w:rPr>
              <w:t xml:space="preserve">2) Stručna znanja i sposobnosti (članak 6. Odluke) </w:t>
            </w:r>
          </w:p>
        </w:tc>
        <w:tc>
          <w:tcPr>
            <w:tcW w:w="2551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</w:tr>
      <w:tr w:rsidR="00B55043" w:rsidRPr="007237AF" w:rsidTr="00D81348">
        <w:trPr>
          <w:trHeight w:val="1091"/>
        </w:trPr>
        <w:tc>
          <w:tcPr>
            <w:tcW w:w="4248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color w:val="000000" w:themeColor="text1"/>
                <w:sz w:val="20"/>
              </w:rPr>
              <w:t xml:space="preserve">(a) odgovarajuće stručno znanje (završeni diplomski studij i navesti iz kojeg relevantnog područja) (članak 6. stavci 1. i 2. Odluke) </w:t>
            </w:r>
          </w:p>
        </w:tc>
        <w:tc>
          <w:tcPr>
            <w:tcW w:w="2551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</w:tr>
      <w:tr w:rsidR="00B55043" w:rsidRPr="007237AF" w:rsidTr="00D81348">
        <w:trPr>
          <w:trHeight w:val="553"/>
        </w:trPr>
        <w:tc>
          <w:tcPr>
            <w:tcW w:w="4248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color w:val="000000" w:themeColor="text1"/>
                <w:sz w:val="20"/>
              </w:rPr>
              <w:t>(b) stručno usavršavanje kandidata uključujući kronološki popis svih oblika stručnog usavršavanja (navesti teme, organizatore i trajanje, godine polaganja stručnih ispita, certifikate, diplome, licence i slično) (članak 6 stavak 3. Odluke)</w:t>
            </w:r>
          </w:p>
        </w:tc>
        <w:tc>
          <w:tcPr>
            <w:tcW w:w="2551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</w:tr>
      <w:tr w:rsidR="00B55043" w:rsidRPr="007237AF" w:rsidTr="00D81348">
        <w:trPr>
          <w:trHeight w:val="410"/>
        </w:trPr>
        <w:tc>
          <w:tcPr>
            <w:tcW w:w="4248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b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b/>
                <w:color w:val="000000" w:themeColor="text1"/>
                <w:sz w:val="20"/>
              </w:rPr>
              <w:t>3) Iskustvo (članak 7. i 9. Odluke)</w:t>
            </w:r>
          </w:p>
        </w:tc>
        <w:tc>
          <w:tcPr>
            <w:tcW w:w="2551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</w:tr>
      <w:tr w:rsidR="00B55043" w:rsidRPr="007237AF" w:rsidTr="00D81348">
        <w:trPr>
          <w:trHeight w:val="410"/>
        </w:trPr>
        <w:tc>
          <w:tcPr>
            <w:tcW w:w="4248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color w:val="000000" w:themeColor="text1"/>
                <w:sz w:val="20"/>
              </w:rPr>
              <w:t>(a) odgovarajuće iskustvo u skladu s člankom 7. stavcima 1. i 3. odnosno člankom 9. Odluke</w:t>
            </w:r>
          </w:p>
        </w:tc>
        <w:tc>
          <w:tcPr>
            <w:tcW w:w="2551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</w:tr>
      <w:tr w:rsidR="00B55043" w:rsidRPr="007237AF" w:rsidTr="00D81348">
        <w:trPr>
          <w:trHeight w:val="410"/>
        </w:trPr>
        <w:tc>
          <w:tcPr>
            <w:tcW w:w="4248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color w:val="000000" w:themeColor="text1"/>
                <w:sz w:val="20"/>
              </w:rPr>
              <w:t xml:space="preserve">(b) opis funkcije na kojoj je stečeno iskustvo uključujući i kriterije iz članka 7. stavka 6. Odluke </w:t>
            </w:r>
          </w:p>
        </w:tc>
        <w:tc>
          <w:tcPr>
            <w:tcW w:w="2551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</w:tr>
      <w:tr w:rsidR="00B55043" w:rsidRPr="007237AF" w:rsidTr="00D81348">
        <w:trPr>
          <w:trHeight w:val="410"/>
        </w:trPr>
        <w:tc>
          <w:tcPr>
            <w:tcW w:w="4248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b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b/>
                <w:color w:val="000000" w:themeColor="text1"/>
                <w:sz w:val="20"/>
              </w:rPr>
              <w:t>4) Neovisnost mišljenja i sukob interesa (članak 8. Odluke)</w:t>
            </w:r>
          </w:p>
        </w:tc>
        <w:tc>
          <w:tcPr>
            <w:tcW w:w="2551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</w:tr>
      <w:tr w:rsidR="00B55043" w:rsidRPr="007237AF" w:rsidTr="00D81348">
        <w:trPr>
          <w:trHeight w:val="410"/>
        </w:trPr>
        <w:tc>
          <w:tcPr>
            <w:tcW w:w="4248" w:type="dxa"/>
            <w:shd w:val="clear" w:color="auto" w:fill="auto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color w:val="000000" w:themeColor="text1"/>
                <w:sz w:val="20"/>
              </w:rPr>
              <w:lastRenderedPageBreak/>
              <w:t>(a) posjedovanje skupa osobina koje čine neovisno mišljenje (članak 8. stavci 1. i 2. Odluke)</w:t>
            </w:r>
          </w:p>
        </w:tc>
        <w:tc>
          <w:tcPr>
            <w:tcW w:w="2551" w:type="dxa"/>
            <w:shd w:val="clear" w:color="auto" w:fill="auto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</w:tr>
      <w:tr w:rsidR="00B55043" w:rsidRPr="007237AF" w:rsidTr="00D81348">
        <w:trPr>
          <w:trHeight w:val="410"/>
        </w:trPr>
        <w:tc>
          <w:tcPr>
            <w:tcW w:w="4248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color w:val="000000" w:themeColor="text1"/>
                <w:sz w:val="20"/>
              </w:rPr>
              <w:t xml:space="preserve">(b) nepostojanje situacije opisane u članku 8. stavku 4. Odluke (sukob interesa kojim se ne može upravljati) </w:t>
            </w:r>
          </w:p>
        </w:tc>
        <w:tc>
          <w:tcPr>
            <w:tcW w:w="2551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</w:tr>
      <w:tr w:rsidR="00B55043" w:rsidRPr="007237AF" w:rsidTr="00D81348">
        <w:trPr>
          <w:trHeight w:val="410"/>
        </w:trPr>
        <w:tc>
          <w:tcPr>
            <w:tcW w:w="4248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color w:val="000000" w:themeColor="text1"/>
                <w:sz w:val="20"/>
              </w:rPr>
              <w:t>(c) analiza postojanja sukoba interesa na temelju situacija iz članka 8. stavka 6. i mjere za smanjenje odnosno otklanjanje sukoba interesa iz članka 8. stavka 11.</w:t>
            </w:r>
          </w:p>
        </w:tc>
        <w:tc>
          <w:tcPr>
            <w:tcW w:w="2551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</w:tr>
      <w:tr w:rsidR="00B55043" w:rsidRPr="007237AF" w:rsidTr="00D81348">
        <w:trPr>
          <w:trHeight w:val="410"/>
        </w:trPr>
        <w:tc>
          <w:tcPr>
            <w:tcW w:w="4248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b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b/>
                <w:color w:val="000000" w:themeColor="text1"/>
                <w:sz w:val="20"/>
              </w:rPr>
              <w:t>5) Posvećenost ispunjavanju dužnosti (članak 11. Odluke)</w:t>
            </w:r>
          </w:p>
        </w:tc>
        <w:tc>
          <w:tcPr>
            <w:tcW w:w="2551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</w:tr>
      <w:tr w:rsidR="00B55043" w:rsidRPr="007237AF" w:rsidTr="00D81348">
        <w:trPr>
          <w:trHeight w:val="410"/>
        </w:trPr>
        <w:tc>
          <w:tcPr>
            <w:tcW w:w="4248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color w:val="000000" w:themeColor="text1"/>
                <w:sz w:val="20"/>
              </w:rPr>
              <w:t>(a) analiza ispunjava li kandidat navedeni kriterij na temelju kriterija iz članka 11. stavka 2. Odluke</w:t>
            </w:r>
          </w:p>
        </w:tc>
        <w:tc>
          <w:tcPr>
            <w:tcW w:w="2551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</w:tr>
      <w:tr w:rsidR="00B55043" w:rsidRPr="007237AF" w:rsidTr="00D81348">
        <w:trPr>
          <w:trHeight w:val="410"/>
        </w:trPr>
        <w:tc>
          <w:tcPr>
            <w:tcW w:w="4248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color w:val="000000" w:themeColor="text1"/>
                <w:sz w:val="20"/>
              </w:rPr>
              <w:t xml:space="preserve">(b) broj, vrsta i opis funkcija koje kandidat istodobno obnaša </w:t>
            </w:r>
          </w:p>
        </w:tc>
        <w:tc>
          <w:tcPr>
            <w:tcW w:w="2551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</w:tr>
      <w:tr w:rsidR="00B55043" w:rsidRPr="007237AF" w:rsidTr="00D81348">
        <w:trPr>
          <w:trHeight w:val="410"/>
        </w:trPr>
        <w:tc>
          <w:tcPr>
            <w:tcW w:w="4248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color w:val="000000" w:themeColor="text1"/>
                <w:sz w:val="20"/>
              </w:rPr>
              <w:t xml:space="preserve">(c) jesu li, i ako jesu, kako su primijenjeni kriteriji iz članka 11. stavka 3. Odluke </w:t>
            </w:r>
          </w:p>
        </w:tc>
        <w:tc>
          <w:tcPr>
            <w:tcW w:w="2551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</w:tr>
      <w:tr w:rsidR="00B55043" w:rsidRPr="007237AF" w:rsidTr="00D81348">
        <w:trPr>
          <w:trHeight w:val="410"/>
        </w:trPr>
        <w:tc>
          <w:tcPr>
            <w:tcW w:w="4248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b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b/>
                <w:color w:val="000000" w:themeColor="text1"/>
                <w:sz w:val="20"/>
              </w:rPr>
              <w:t>6) Neovisnost člana nadzornog odbora (članak 10. Odluke) – ispunjava se samo za neovisne članove nadzornog odbora</w:t>
            </w:r>
          </w:p>
        </w:tc>
        <w:tc>
          <w:tcPr>
            <w:tcW w:w="2551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</w:tr>
      <w:tr w:rsidR="00B55043" w:rsidRPr="007237AF" w:rsidTr="00D81348">
        <w:trPr>
          <w:trHeight w:val="410"/>
        </w:trPr>
        <w:tc>
          <w:tcPr>
            <w:tcW w:w="4248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color w:val="000000" w:themeColor="text1"/>
                <w:sz w:val="20"/>
              </w:rPr>
              <w:t>analiza ispunjava li kandidat uvjete za neovisnog člana nadzornog odbora iz članka 10. Odluke</w:t>
            </w:r>
          </w:p>
        </w:tc>
        <w:tc>
          <w:tcPr>
            <w:tcW w:w="2551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</w:tr>
      <w:tr w:rsidR="00B55043" w:rsidRPr="007237AF" w:rsidTr="00D81348">
        <w:trPr>
          <w:trHeight w:val="410"/>
        </w:trPr>
        <w:tc>
          <w:tcPr>
            <w:tcW w:w="4248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b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b/>
                <w:color w:val="000000" w:themeColor="text1"/>
                <w:sz w:val="20"/>
              </w:rPr>
              <w:t xml:space="preserve">7) Kolektivna primjerenost </w:t>
            </w:r>
          </w:p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  <w:r w:rsidRPr="007237AF">
              <w:rPr>
                <w:rFonts w:ascii="Life L2" w:hAnsi="Life L2"/>
                <w:color w:val="000000" w:themeColor="text1"/>
                <w:sz w:val="20"/>
              </w:rPr>
              <w:t>procjena kreditne institucije o kolektivnoj primjerenosti uprave i nadzornog odbora te načinu na koji se kandidat uklapa u kolektivnu primjerenost uprave ili nadzornog odbora, sastav uprave odnosno nadzornog odbora i kratak opis funkcija koje članovi obavljaju i područja nadležnosti koja pokrivaju (npr. u obliku sheme), navođenje i opis metodologije kojom se kreditna institucija koristila pri procjeni kolektivne primjerenosti uprave i nadzornog odbora kao i utvrđene nedostatke i praznine ako su utvrđene i mjere kojima se planiraju ispraviti</w:t>
            </w:r>
          </w:p>
        </w:tc>
        <w:tc>
          <w:tcPr>
            <w:tcW w:w="2551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:rsidR="00B55043" w:rsidRPr="007237AF" w:rsidRDefault="00B55043" w:rsidP="00D81348">
            <w:pPr>
              <w:spacing w:afterLines="50" w:after="120" w:line="240" w:lineRule="auto"/>
              <w:rPr>
                <w:rFonts w:ascii="Life L2" w:hAnsi="Life L2"/>
                <w:color w:val="000000" w:themeColor="text1"/>
                <w:sz w:val="20"/>
              </w:rPr>
            </w:pPr>
          </w:p>
        </w:tc>
      </w:tr>
    </w:tbl>
    <w:p w:rsidR="00B55043" w:rsidRPr="007237AF" w:rsidRDefault="00B55043" w:rsidP="00B55043">
      <w:pPr>
        <w:spacing w:afterLines="100" w:after="240" w:line="240" w:lineRule="auto"/>
        <w:ind w:left="720"/>
        <w:contextualSpacing/>
        <w:rPr>
          <w:rFonts w:ascii="Life L2" w:hAnsi="Life L2"/>
          <w:color w:val="000000" w:themeColor="text1"/>
          <w:sz w:val="20"/>
        </w:rPr>
      </w:pPr>
    </w:p>
    <w:p w:rsidR="00B55043" w:rsidRPr="007237AF" w:rsidRDefault="00B55043" w:rsidP="00B55043">
      <w:pPr>
        <w:spacing w:afterLines="100" w:after="240" w:line="240" w:lineRule="auto"/>
        <w:ind w:left="720"/>
        <w:contextualSpacing/>
        <w:rPr>
          <w:rFonts w:ascii="Life L2" w:hAnsi="Life L2"/>
          <w:color w:val="000000" w:themeColor="text1"/>
          <w:sz w:val="20"/>
        </w:rPr>
      </w:pPr>
    </w:p>
    <w:p w:rsidR="00B55043" w:rsidRPr="007237AF" w:rsidRDefault="00B55043" w:rsidP="00B55043">
      <w:pPr>
        <w:spacing w:afterLines="100" w:after="240" w:line="240" w:lineRule="auto"/>
        <w:ind w:left="720"/>
        <w:contextualSpacing/>
        <w:rPr>
          <w:rFonts w:ascii="Life L2" w:hAnsi="Life L2"/>
          <w:color w:val="000000" w:themeColor="text1"/>
          <w:sz w:val="20"/>
        </w:rPr>
      </w:pPr>
    </w:p>
    <w:p w:rsidR="00B55043" w:rsidRPr="007237AF" w:rsidRDefault="00B55043" w:rsidP="00B55043">
      <w:pPr>
        <w:spacing w:afterLines="100" w:after="240" w:line="240" w:lineRule="auto"/>
        <w:contextualSpacing/>
        <w:rPr>
          <w:rFonts w:ascii="Life L2" w:hAnsi="Life L2"/>
          <w:color w:val="000000" w:themeColor="text1"/>
          <w:sz w:val="20"/>
        </w:rPr>
      </w:pPr>
      <w:r w:rsidRPr="007237AF">
        <w:rPr>
          <w:rFonts w:ascii="Life L2" w:hAnsi="Life L2"/>
          <w:color w:val="000000" w:themeColor="text1"/>
          <w:sz w:val="20"/>
        </w:rPr>
        <w:t>Mjesto i datum:</w:t>
      </w:r>
      <w:r w:rsidRPr="007237AF">
        <w:rPr>
          <w:rFonts w:ascii="Life L2" w:hAnsi="Life L2"/>
          <w:color w:val="000000" w:themeColor="text1"/>
          <w:sz w:val="20"/>
        </w:rPr>
        <w:tab/>
        <w:t xml:space="preserve"> </w:t>
      </w:r>
      <w:r w:rsidRPr="007237AF">
        <w:rPr>
          <w:rFonts w:ascii="Life L2" w:hAnsi="Life L2"/>
          <w:color w:val="000000" w:themeColor="text1"/>
          <w:sz w:val="20"/>
        </w:rPr>
        <w:tab/>
        <w:t xml:space="preserve"> </w:t>
      </w:r>
      <w:r w:rsidRPr="007237AF">
        <w:rPr>
          <w:rFonts w:ascii="Life L2" w:hAnsi="Life L2"/>
          <w:color w:val="000000" w:themeColor="text1"/>
          <w:sz w:val="20"/>
        </w:rPr>
        <w:tab/>
        <w:t xml:space="preserve"> </w:t>
      </w:r>
      <w:r w:rsidRPr="007237AF">
        <w:rPr>
          <w:rFonts w:ascii="Life L2" w:hAnsi="Life L2"/>
          <w:color w:val="000000" w:themeColor="text1"/>
          <w:sz w:val="20"/>
        </w:rPr>
        <w:tab/>
        <w:t xml:space="preserve"> </w:t>
      </w:r>
      <w:r w:rsidRPr="007237AF">
        <w:rPr>
          <w:rFonts w:ascii="Life L2" w:hAnsi="Life L2"/>
          <w:color w:val="000000" w:themeColor="text1"/>
          <w:sz w:val="20"/>
        </w:rPr>
        <w:tab/>
        <w:t xml:space="preserve"> </w:t>
      </w:r>
      <w:r w:rsidRPr="007237AF">
        <w:rPr>
          <w:rFonts w:ascii="Life L2" w:hAnsi="Life L2"/>
          <w:color w:val="000000" w:themeColor="text1"/>
          <w:sz w:val="20"/>
        </w:rPr>
        <w:tab/>
        <w:t xml:space="preserve"> </w:t>
      </w:r>
      <w:r w:rsidRPr="007237AF">
        <w:rPr>
          <w:rFonts w:ascii="Life L2" w:hAnsi="Life L2"/>
          <w:color w:val="000000" w:themeColor="text1"/>
          <w:sz w:val="20"/>
        </w:rPr>
        <w:tab/>
      </w:r>
    </w:p>
    <w:p w:rsidR="00B55043" w:rsidRPr="007237AF" w:rsidRDefault="00B55043" w:rsidP="00B55043">
      <w:pPr>
        <w:spacing w:afterLines="100" w:after="240" w:line="240" w:lineRule="auto"/>
        <w:contextualSpacing/>
        <w:rPr>
          <w:rFonts w:ascii="Life L2" w:hAnsi="Life L2"/>
          <w:color w:val="000000" w:themeColor="text1"/>
          <w:sz w:val="20"/>
        </w:rPr>
      </w:pPr>
    </w:p>
    <w:p w:rsidR="00B55043" w:rsidRPr="007237AF" w:rsidRDefault="00B55043" w:rsidP="00B55043">
      <w:pPr>
        <w:spacing w:afterLines="100" w:after="240" w:line="240" w:lineRule="auto"/>
        <w:contextualSpacing/>
        <w:rPr>
          <w:rFonts w:ascii="Life L2" w:hAnsi="Life L2"/>
          <w:color w:val="000000" w:themeColor="text1"/>
          <w:sz w:val="20"/>
        </w:rPr>
      </w:pPr>
    </w:p>
    <w:p w:rsidR="00B55043" w:rsidRPr="007237AF" w:rsidRDefault="00B55043" w:rsidP="00B55043">
      <w:pPr>
        <w:spacing w:afterLines="100" w:after="240" w:line="240" w:lineRule="auto"/>
        <w:contextualSpacing/>
        <w:rPr>
          <w:rFonts w:ascii="Life L2" w:hAnsi="Life L2"/>
          <w:color w:val="000000" w:themeColor="text1"/>
          <w:sz w:val="20"/>
        </w:rPr>
      </w:pPr>
      <w:r w:rsidRPr="007237AF">
        <w:rPr>
          <w:rFonts w:ascii="Life L2" w:hAnsi="Life L2"/>
          <w:color w:val="000000" w:themeColor="text1"/>
          <w:sz w:val="20"/>
        </w:rPr>
        <w:t>Osobe koje su provele procjenu primjerenosti:</w:t>
      </w:r>
    </w:p>
    <w:p w:rsidR="00B55043" w:rsidRPr="007237AF" w:rsidRDefault="00B55043" w:rsidP="00B55043">
      <w:pPr>
        <w:spacing w:afterLines="100" w:after="240" w:line="240" w:lineRule="auto"/>
        <w:ind w:left="720"/>
        <w:contextualSpacing/>
        <w:rPr>
          <w:rFonts w:ascii="Life L2" w:hAnsi="Life L2"/>
          <w:color w:val="000000" w:themeColor="text1"/>
          <w:sz w:val="20"/>
        </w:rPr>
      </w:pPr>
    </w:p>
    <w:p w:rsidR="00B55043" w:rsidRPr="007237AF" w:rsidRDefault="00B55043" w:rsidP="00B55043">
      <w:pPr>
        <w:tabs>
          <w:tab w:val="center" w:pos="6945"/>
          <w:tab w:val="right" w:pos="9070"/>
        </w:tabs>
        <w:spacing w:line="240" w:lineRule="auto"/>
        <w:rPr>
          <w:rFonts w:ascii="Life L2" w:hAnsi="Life L2"/>
          <w:b/>
          <w:sz w:val="20"/>
        </w:rPr>
      </w:pPr>
    </w:p>
    <w:p w:rsidR="00B55043" w:rsidRPr="007237AF" w:rsidRDefault="00B55043" w:rsidP="00B55043">
      <w:pPr>
        <w:tabs>
          <w:tab w:val="center" w:pos="6945"/>
          <w:tab w:val="right" w:pos="9070"/>
        </w:tabs>
        <w:spacing w:line="240" w:lineRule="auto"/>
        <w:rPr>
          <w:rFonts w:ascii="Life L2" w:hAnsi="Life L2"/>
          <w:b/>
          <w:sz w:val="20"/>
        </w:rPr>
      </w:pPr>
    </w:p>
    <w:p w:rsidR="005507FB" w:rsidRPr="000163B6" w:rsidRDefault="005507FB">
      <w:pPr>
        <w:rPr>
          <w:rFonts w:ascii="Life L2" w:hAnsi="Life L2"/>
        </w:rPr>
      </w:pPr>
    </w:p>
    <w:sectPr w:rsidR="005507FB" w:rsidRPr="00016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43"/>
    <w:rsid w:val="000163B6"/>
    <w:rsid w:val="005507FB"/>
    <w:rsid w:val="00B55043"/>
    <w:rsid w:val="00C7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7B0C8-481B-49B3-A159-6B3A4215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043"/>
    <w:pPr>
      <w:tabs>
        <w:tab w:val="left" w:pos="425"/>
      </w:tabs>
      <w:spacing w:after="0" w:line="36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B5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5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550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50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3364</Characters>
  <Application>Microsoft Office Word</Application>
  <DocSecurity>4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Hrvatska narodna banka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 Malec</dc:creator>
  <cp:keywords/>
  <dc:description/>
  <cp:lastModifiedBy>Svjetlana Čolak</cp:lastModifiedBy>
  <cp:revision>2</cp:revision>
  <cp:lastPrinted>2021-03-01T11:19:00Z</cp:lastPrinted>
  <dcterms:created xsi:type="dcterms:W3CDTF">2021-03-01T13:09:00Z</dcterms:created>
  <dcterms:modified xsi:type="dcterms:W3CDTF">2021-03-01T13:09:00Z</dcterms:modified>
</cp:coreProperties>
</file>